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2024年科技专项资金绩效目标汇总表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730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1360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全面落实“三高四新”战略定位和使命任务，持续推进“聚力中心化攻坚年”行动。大力培育高新技术企业和科技型中小企业，争创省级以上创新型县市区、高新区建设，新组建一批企业创新联合体开展联合攻关，鼓励企业与高等院校、科研院所合作，引进更多的科技成果在衡转化，促进产学研深度融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科技重大专项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重点研发项目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160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基础（应用研究）项目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创新创业大赛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产学研经费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550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2"/>
                <w:szCs w:val="22"/>
                <w:lang w:val="en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150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6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hd w:val="clear" w:fill="FFFFFF"/>
              <w:wordWrap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湖南省自然科学衡阳联合基金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240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240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  <w:t>7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企业研发费用辅导专项资金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495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2024年科技专项资金支出方向绩效目标表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color w:val="000000"/>
                <w:spacing w:val="0"/>
                <w:sz w:val="21"/>
                <w:szCs w:val="21"/>
                <w:shd w:val="clear" w:fill="FFFFFF"/>
              </w:rPr>
              <w:t>湖南省自然科学衡阳联合基金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市级主管部门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240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湖南省自然科学基金（衡阳）区域联合基金项目，支持省内高校、科研院所等研究机构和衡阳本地企事业单位合作，解决本地经济、社会和科技发展中的关键科学问题，推动本地经济社会发展。项目立项超过</w:t>
            </w:r>
            <w:r>
              <w:rPr>
                <w:rFonts w:hint="eastAsia"/>
                <w:lang w:val="en-US" w:eastAsia="zh-CN"/>
              </w:rPr>
              <w:t>60项，落实“包干制”制度等。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资助项目数量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≥60项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支持重点项目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“包干制”落实制度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完成试点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项目启动及时率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项目实施及时率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单个项目支持金额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5万元-10万元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引导其他基金投入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发表学术论文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≥60篇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申请及授权专利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≥50项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培养科技人才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≥60人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项目申请人满意度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2024年科技专项资金支出方向绩效目标表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产学研经费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市级主管部门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550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新组建一批企业创新联合体开展联合攻关，鼓励企业与高等院校、科研院所合作，引进更多的科技成果在衡转化，促进产学研深度融合。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新立项目数量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申请专利数量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项目启动及时率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项目实施及时率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项目应用实现新增限售收入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不低于预期目标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撬动资金配套投入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专项资金的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1.5倍及以上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新工艺、新产品、新材料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引育高层次人才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支持对象满意度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2024年科技专项资金支出方向绩效目标表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创新创业大赛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市级主管部门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成功举办一次创新创业大赛，对接资源服务效率显著提高，区域双创活跃度明显增长，企业赛事参与度稳步提升。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举办场次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创新创业大赛达标率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资金拨付及时率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资金推动经济情况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获得资金企业运行情况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2024年科技专项资金支出方向绩效目标表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基础（应用）研究项目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市级主管部门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围绕我市优势特色产业发展，开展基础研究和基础应用研究，按照5万元/项，进行项目支持。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支持项目数量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≥30项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项目实施及时率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单个项目支持金额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发表学术论文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≥20篇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申请及授权专利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≥20项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项目申请人满意度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科技重大专项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支持重大关键技术攻关、重大技术装备和产品开发、重大科技成果应用及产业化，着力解决重点领导产业发展关键技术瓶颈，引领带动产业转型升级。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申请专利数量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制定技术标准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项目启动及时率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项目实施及时率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项目应用实现新增限售收入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不低于预期目标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撬动资金配套投入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专项资金的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1.5倍及以上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新工艺、新产品、新材料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引育高层次人才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2663" w:type="dxa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148" w:type="dxa"/>
            <w:gridSpan w:val="5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企业研发费用辅导专项资金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设立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300万元的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企业研发费用辅导专项资金，支持企业建立规范的研发费用归集机制并做好会计辅助账。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全社会研发经费投入总量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较上年增长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全社会研发经费投入总量增速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12％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资金拨付及时率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带动新技术、新产品落地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引导企业做好研发费用归集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2663" w:type="dxa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148" w:type="dxa"/>
            <w:gridSpan w:val="5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>
      <w:pPr>
        <w:ind w:firstLine="720" w:firstLineChars="200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科技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专项资金支出方向绩效目标表</w:t>
      </w:r>
    </w:p>
    <w:p>
      <w:pPr>
        <w:pStyle w:val="2"/>
        <w:spacing w:line="240" w:lineRule="exact"/>
        <w:ind w:firstLine="280"/>
      </w:pPr>
    </w:p>
    <w:p>
      <w:pPr>
        <w:pStyle w:val="2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重点研发项目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" w:eastAsia="zh-CN"/>
              </w:rPr>
              <w:t>科技专项资金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衡阳市科学技术局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200</w:t>
            </w:r>
          </w:p>
        </w:tc>
        <w:tc>
          <w:tcPr>
            <w:tcW w:w="183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sz w:val="22"/>
                <w:szCs w:val="22"/>
                <w:lang w:val="en" w:eastAsia="zh-CN"/>
              </w:rPr>
              <w:t>2090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在工业领域、农业领域、社会发展领域以及国际与区域合作领域，遴选一批具有前沿性、引领性和关键性的研发项目，分类分层支持。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新立项目数量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申请专利数量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制定技术标准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项目验收通过率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项目启动及时率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项目实施及时率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项目应用实现新增限售收入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不低于预期目标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撬动资金配套投入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专项资金的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1.5倍及以上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新工艺、新产品、新材料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引育高层次人才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5人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27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支持对象满意度</w:t>
            </w:r>
          </w:p>
        </w:tc>
        <w:tc>
          <w:tcPr>
            <w:tcW w:w="2037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90％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  <w:jc w:val="center"/>
        </w:trPr>
        <w:tc>
          <w:tcPr>
            <w:tcW w:w="2663" w:type="dxa"/>
            <w:gridSpan w:val="2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148" w:type="dxa"/>
            <w:gridSpan w:val="5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ZTMxNzVhYzQ4NmVkNjdjMWE4YjAyNzZkYzQ2MjgifQ=="/>
  </w:docVars>
  <w:rsids>
    <w:rsidRoot w:val="793449DB"/>
    <w:rsid w:val="37EF1378"/>
    <w:rsid w:val="3A691A10"/>
    <w:rsid w:val="4ECFC575"/>
    <w:rsid w:val="6AFD139A"/>
    <w:rsid w:val="71C67E3C"/>
    <w:rsid w:val="71DF331B"/>
    <w:rsid w:val="793449DB"/>
    <w:rsid w:val="7DFF019A"/>
    <w:rsid w:val="B45FDF1A"/>
    <w:rsid w:val="FFDD9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2023-01-08T07:43:00Z</dcterms:created>
  <dc:creator>123</dc:creator>
  <cp:lastModifiedBy>Gggph</cp:lastModifiedBy>
  <dcterms:modified xsi:type="dcterms:W3CDTF">2024-01-31T11:31:48Z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291468F4BDDC4996AE93D418C1FEE417</vt:lpwstr>
  </property>
</Properties>
</file>